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68" w:beforeAutospacing="0" w:afterLines="0" w:afterAutospacing="0" w:line="187" w:lineRule="auto"/>
        <w:ind w:left="69"/>
        <w:rPr>
          <w:rFonts w:ascii="宋体" w:hAnsi="宋体" w:eastAsia="宋体" w:cs="宋体"/>
          <w:color w:val="auto"/>
          <w:sz w:val="33"/>
          <w:szCs w:val="33"/>
        </w:rPr>
      </w:pPr>
      <w:r>
        <w:rPr>
          <w:rFonts w:ascii="宋体" w:hAnsi="宋体" w:eastAsia="宋体" w:cs="宋体"/>
          <w:b/>
          <w:bCs/>
          <w:color w:val="auto"/>
          <w:spacing w:val="18"/>
          <w:sz w:val="36"/>
          <w:szCs w:val="36"/>
        </w:rPr>
        <w:t>附件1</w:t>
      </w:r>
      <w:r>
        <w:rPr>
          <w:rFonts w:ascii="宋体" w:hAnsi="宋体" w:eastAsia="宋体" w:cs="宋体"/>
          <w:b/>
          <w:bCs/>
          <w:color w:val="auto"/>
          <w:spacing w:val="18"/>
          <w:sz w:val="33"/>
          <w:szCs w:val="33"/>
        </w:rPr>
        <w:t>:</w:t>
      </w:r>
    </w:p>
    <w:tbl>
      <w:tblPr>
        <w:tblStyle w:val="7"/>
        <w:tblW w:w="14692" w:type="dxa"/>
        <w:tblInd w:w="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2"/>
        <w:gridCol w:w="674"/>
        <w:gridCol w:w="1778"/>
        <w:gridCol w:w="1160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14692" w:type="dxa"/>
            <w:gridSpan w:val="4"/>
            <w:tcBorders>
              <w:bottom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jc w:val="center"/>
              <w:rPr>
                <w:rFonts w:ascii="Arial" w:hAnsi="Arial"/>
                <w:color w:val="auto"/>
                <w:sz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auto"/>
                <w:spacing w:val="-4"/>
                <w:sz w:val="44"/>
                <w:szCs w:val="44"/>
                <w:lang w:val="en-US" w:eastAsia="zh-CN"/>
              </w:rPr>
              <w:t>滁州</w:t>
            </w:r>
            <w:r>
              <w:rPr>
                <w:rFonts w:asciiTheme="majorEastAsia" w:hAnsiTheme="majorEastAsia" w:eastAsiaTheme="majorEastAsia" w:cstheme="majorEastAsia"/>
                <w:b/>
                <w:bCs/>
                <w:color w:val="auto"/>
                <w:spacing w:val="-4"/>
                <w:sz w:val="44"/>
                <w:szCs w:val="44"/>
              </w:rPr>
              <w:t>市房屋建筑工程质量属性风险等级判别标准清单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Lines="0" w:beforeAutospacing="0" w:afterLines="0" w:afterAutospacing="0" w:line="280" w:lineRule="exact"/>
              <w:ind w:left="100" w:leftChars="5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3"/>
                <w:szCs w:val="23"/>
                <w:lang w:eastAsia="zh-CN"/>
              </w:rPr>
              <w:t>质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3"/>
                <w:szCs w:val="23"/>
              </w:rPr>
              <w:t>量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3"/>
                <w:szCs w:val="23"/>
              </w:rPr>
              <w:t>属性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5"/>
                <w:sz w:val="23"/>
                <w:szCs w:val="23"/>
              </w:rPr>
              <w:t>风险</w:t>
            </w:r>
            <w:r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3"/>
                <w:szCs w:val="23"/>
              </w:rPr>
              <w:t>等级</w:t>
            </w:r>
          </w:p>
        </w:tc>
        <w:tc>
          <w:tcPr>
            <w:tcW w:w="14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 w:line="448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="74" w:beforeAutospacing="0" w:afterLines="0" w:afterAutospacing="0" w:line="218" w:lineRule="auto"/>
              <w:ind w:left="6363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32"/>
                <w:szCs w:val="32"/>
                <w:lang w:val="en-US" w:eastAsia="zh-CN"/>
              </w:rPr>
              <w:t>工程质量属性风险</w:t>
            </w:r>
          </w:p>
        </w:tc>
      </w:tr>
      <w:tr>
        <w:trPr>
          <w:trHeight w:val="500" w:hRule="atLeast"/>
        </w:trPr>
        <w:tc>
          <w:tcPr>
            <w:tcW w:w="63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7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="74" w:beforeAutospacing="0" w:afterLines="0" w:afterAutospacing="0" w:line="180" w:lineRule="auto"/>
              <w:ind w:left="215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  <w:t>I</w:t>
            </w: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 w:line="24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="75" w:beforeAutospacing="0" w:afterLines="0" w:afterAutospacing="0" w:line="230" w:lineRule="auto"/>
              <w:ind w:left="100" w:right="31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3"/>
                <w:szCs w:val="23"/>
              </w:rPr>
              <w:t>自身</w:t>
            </w:r>
            <w:r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3"/>
                <w:szCs w:val="23"/>
              </w:rPr>
              <w:t>风险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95" w:beforeAutospacing="0" w:afterLines="0" w:afterAutospacing="0" w:line="228" w:lineRule="auto"/>
              <w:ind w:left="102"/>
              <w:jc w:val="center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建设性质属性</w:t>
            </w:r>
          </w:p>
        </w:tc>
        <w:tc>
          <w:tcPr>
            <w:tcW w:w="1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pacing w:before="211" w:beforeAutospacing="0" w:afterLines="0" w:afterAutospacing="0" w:line="218" w:lineRule="auto"/>
              <w:ind w:left="5352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2"/>
                <w:sz w:val="23"/>
                <w:szCs w:val="23"/>
              </w:rPr>
              <w:t>新建工程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建筑类型属性</w:t>
            </w:r>
          </w:p>
        </w:tc>
        <w:tc>
          <w:tcPr>
            <w:tcW w:w="1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default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公共管理与公共服务建筑(行政办公、教育科研、医疗卫生等);居住建筑(商品住房、保障性住房等)；市政工程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建筑高度属性</w:t>
            </w:r>
          </w:p>
        </w:tc>
        <w:tc>
          <w:tcPr>
            <w:tcW w:w="1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建筑高度大于100米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消防审验属性</w:t>
            </w:r>
          </w:p>
        </w:tc>
        <w:tc>
          <w:tcPr>
            <w:tcW w:w="1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特殊建设工程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装配式建筑属性</w:t>
            </w:r>
          </w:p>
        </w:tc>
        <w:tc>
          <w:tcPr>
            <w:tcW w:w="1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装配式混凝土建筑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交付标准属性</w:t>
            </w:r>
          </w:p>
        </w:tc>
        <w:tc>
          <w:tcPr>
            <w:tcW w:w="1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全装修交付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建造技术属性</w:t>
            </w:r>
          </w:p>
        </w:tc>
        <w:tc>
          <w:tcPr>
            <w:tcW w:w="1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400" w:lineRule="exact"/>
              <w:ind w:left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深基坑、高支模、预应力工程、大体积混凝土；使用尚未制定国标、行标、地标的新技术、新工艺、新材料和新设备。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7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 w:line="388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="75" w:beforeAutospacing="0" w:afterLines="0" w:afterAutospacing="0" w:line="228" w:lineRule="auto"/>
              <w:ind w:left="100" w:right="40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3"/>
                <w:szCs w:val="23"/>
              </w:rPr>
              <w:t>关联</w:t>
            </w:r>
            <w:r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3"/>
                <w:szCs w:val="23"/>
              </w:rPr>
              <w:t>风险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企业信用属性</w:t>
            </w:r>
          </w:p>
        </w:tc>
        <w:tc>
          <w:tcPr>
            <w:tcW w:w="1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40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企业在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滁州市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市建筑市场信用评价系统中信用分低于65分以下的。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</w:trPr>
        <w:tc>
          <w:tcPr>
            <w:tcW w:w="632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7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质量投诉率属性</w:t>
            </w:r>
          </w:p>
        </w:tc>
        <w:tc>
          <w:tcPr>
            <w:tcW w:w="116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560" w:lineRule="exact"/>
              <w:ind w:left="0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2"/>
                <w:szCs w:val="22"/>
                <w:lang w:val="en-US" w:eastAsia="zh-CN"/>
              </w:rPr>
              <w:t>建设、施工、监理单位上个年度在本市范围内参建的任一单个项目有效投诉超过30起。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63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400" w:lineRule="exact"/>
              <w:ind w:left="0"/>
              <w:jc w:val="center"/>
              <w:textAlignment w:val="baseline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备注</w:t>
            </w:r>
          </w:p>
        </w:tc>
        <w:tc>
          <w:tcPr>
            <w:tcW w:w="1338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400" w:lineRule="exact"/>
              <w:ind w:left="0"/>
              <w:jc w:val="center"/>
              <w:textAlignment w:val="baseline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自身属性符合所列任意四项及以上，且关联属性符合任意一项的，质量属性风险等级确定为I级。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 w:line="290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="75" w:beforeAutospacing="0" w:afterLines="0" w:afterAutospacing="0" w:line="235" w:lineRule="auto"/>
              <w:ind w:left="154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  <w:t>Ⅱ</w:t>
            </w:r>
          </w:p>
        </w:tc>
        <w:tc>
          <w:tcPr>
            <w:tcW w:w="14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400" w:lineRule="exact"/>
              <w:ind w:left="0"/>
              <w:jc w:val="left"/>
              <w:textAlignment w:val="baseline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非I级的居住建筑，质量属性风险等级确定为Ⅱ级。改建工程(装饰装修工程)涉及规划使用功能调整、建筑主体结构变动、消防设施变动、建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400" w:lineRule="exact"/>
              <w:ind w:left="0"/>
              <w:jc w:val="left"/>
              <w:textAlignment w:val="baseline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筑外立面改动任意一项的，质量属性风险等级确定为Ⅱ级。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</w:trPr>
        <w:tc>
          <w:tcPr>
            <w:tcW w:w="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6"/>
              <w:widowControl/>
              <w:spacing w:beforeLines="0" w:beforeAutospacing="0" w:afterLines="0" w:afterAutospacing="0" w:line="276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="75" w:beforeAutospacing="0" w:afterLines="0" w:afterAutospacing="0" w:line="235" w:lineRule="auto"/>
              <w:ind w:left="174" w:leftChars="0"/>
              <w:rPr>
                <w:rFonts w:hint="eastAsia" w:ascii="仿宋_GB2312" w:hAnsi="仿宋_GB2312" w:eastAsia="仿宋_GB2312" w:cs="仿宋_GB2312"/>
                <w:color w:val="auto"/>
                <w:kern w:val="0"/>
                <w:sz w:val="23"/>
                <w:szCs w:val="23"/>
                <w:lang w:val="en-US" w:eastAsia="zh-CN" w:bidi="hi-I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  <w:t>Ⅲ</w:t>
            </w:r>
          </w:p>
        </w:tc>
        <w:tc>
          <w:tcPr>
            <w:tcW w:w="140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400" w:lineRule="exact"/>
              <w:ind w:left="0"/>
              <w:jc w:val="left"/>
              <w:textAlignment w:val="baseline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除I、Ⅱ、IV级外的房屋建筑工程，质量属性风险等级确定为Ⅲ级。改建工程(装饰装修工程)总建筑面积大于5000平米，且未涉及规划使用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Autospacing="0" w:afterLines="0" w:afterAutospacing="0" w:line="400" w:lineRule="exact"/>
              <w:ind w:left="0"/>
              <w:jc w:val="left"/>
              <w:textAlignment w:val="baseline"/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功能调整、建筑主体承重结构变动、消防设施变动、建筑外立面改动的，质量属性风险等级确定为Ⅲ级。</w:t>
            </w:r>
          </w:p>
        </w:tc>
      </w:tr>
    </w:tbl>
    <w:p>
      <w:pPr>
        <w:pStyle w:val="6"/>
        <w:spacing w:line="20" w:lineRule="exact"/>
        <w:rPr>
          <w:color w:val="auto"/>
        </w:rPr>
      </w:pPr>
    </w:p>
    <w:tbl>
      <w:tblPr>
        <w:tblStyle w:val="7"/>
        <w:tblW w:w="14665" w:type="dxa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593"/>
        <w:gridCol w:w="630"/>
        <w:gridCol w:w="1818"/>
        <w:gridCol w:w="1980"/>
        <w:gridCol w:w="3147"/>
        <w:gridCol w:w="6497"/>
      </w:tblGrid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10" w:hRule="atLeast"/>
        </w:trPr>
        <w:tc>
          <w:tcPr>
            <w:tcW w:w="5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52" w:lineRule="auto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="75" w:beforeAutospacing="0" w:afterLines="0" w:afterAutospacing="0" w:line="180" w:lineRule="auto"/>
              <w:ind w:left="174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6"/>
                <w:sz w:val="23"/>
                <w:szCs w:val="23"/>
              </w:rPr>
              <w:t>IV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Lines="0" w:beforeAutospacing="0" w:afterLines="0" w:afterAutospacing="0" w:line="249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49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="75" w:beforeAutospacing="0" w:afterLines="0" w:afterAutospacing="0" w:line="230" w:lineRule="auto"/>
              <w:ind w:left="110" w:right="31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3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3"/>
                <w:szCs w:val="23"/>
              </w:rPr>
              <w:t>自身</w:t>
            </w:r>
            <w:r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3"/>
                <w:szCs w:val="23"/>
              </w:rPr>
              <w:t>风</w:t>
            </w:r>
          </w:p>
          <w:p>
            <w:pPr>
              <w:pStyle w:val="6"/>
              <w:widowControl/>
              <w:spacing w:before="75" w:beforeAutospacing="0" w:afterLines="0" w:afterAutospacing="0" w:line="230" w:lineRule="auto"/>
              <w:ind w:left="110" w:right="31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3"/>
                <w:szCs w:val="23"/>
              </w:rPr>
              <w:t>险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40" w:beforeAutospacing="0" w:afterLines="0" w:afterAutospacing="0" w:line="216" w:lineRule="auto"/>
              <w:ind w:left="2342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3"/>
                <w:szCs w:val="23"/>
              </w:rPr>
              <w:t>A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3"/>
                <w:szCs w:val="23"/>
              </w:rPr>
              <w:t>项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50" w:beforeAutospacing="0" w:afterLines="0" w:afterAutospacing="0" w:line="206" w:lineRule="auto"/>
              <w:ind w:left="3045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3"/>
                <w:szCs w:val="23"/>
              </w:rPr>
              <w:t>B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0"/>
                <w:sz w:val="23"/>
                <w:szCs w:val="23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3"/>
                <w:szCs w:val="23"/>
              </w:rPr>
              <w:t>项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29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21" w:beforeAutospacing="0" w:afterLines="0" w:afterAutospacing="0" w:line="218" w:lineRule="auto"/>
              <w:ind w:left="211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建设性质属性</w:t>
            </w: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101" w:beforeAutospacing="0" w:afterLines="0" w:afterAutospacing="0" w:line="218" w:lineRule="auto"/>
              <w:ind w:left="2082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6"/>
                <w:sz w:val="23"/>
                <w:szCs w:val="23"/>
              </w:rPr>
              <w:t>新建工程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100" w:beforeAutospacing="0" w:afterLines="0" w:afterAutospacing="0" w:line="218" w:lineRule="auto"/>
              <w:ind w:left="1825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0"/>
                <w:sz w:val="23"/>
                <w:szCs w:val="23"/>
              </w:rPr>
              <w:t>改建工程(装饰装修工程)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49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ind w:left="211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建筑类型属性</w:t>
            </w: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112" w:beforeAutospacing="0" w:afterLines="0" w:afterAutospacing="0" w:line="218" w:lineRule="auto"/>
              <w:ind w:left="2102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2"/>
                <w:sz w:val="23"/>
                <w:szCs w:val="23"/>
              </w:rPr>
              <w:t>工业建筑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111" w:beforeAutospacing="0" w:afterLines="0" w:afterAutospacing="0" w:line="218" w:lineRule="auto"/>
              <w:ind w:left="2325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1"/>
                <w:sz w:val="23"/>
                <w:szCs w:val="23"/>
              </w:rPr>
              <w:t>商业与服务业建筑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609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Lines="0" w:beforeAutospacing="0" w:afterLines="0" w:afterAutospacing="0" w:line="285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Lines="0" w:beforeAutospacing="0" w:afterLines="0" w:afterAutospacing="0" w:line="285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="75" w:beforeAutospacing="0" w:afterLines="0" w:afterAutospacing="0" w:line="218" w:lineRule="auto"/>
              <w:ind w:left="211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3"/>
                <w:szCs w:val="23"/>
              </w:rPr>
              <w:t>使用功能属性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192" w:beforeAutospacing="0" w:afterLines="0" w:afterAutospacing="0" w:line="218" w:lineRule="auto"/>
              <w:ind w:left="402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3"/>
                <w:sz w:val="23"/>
                <w:szCs w:val="23"/>
              </w:rPr>
              <w:t>厂房、仓库</w:t>
            </w:r>
          </w:p>
        </w:tc>
        <w:tc>
          <w:tcPr>
            <w:tcW w:w="3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233" w:lineRule="auto"/>
              <w:ind w:left="56" w:leftChars="28" w:right="0" w:firstLine="0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2"/>
                <w:szCs w:val="22"/>
              </w:rPr>
              <w:t>工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业配套建筑(宿舍、食堂 、研发、办公等)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72" w:beforeAutospacing="0" w:afterLines="0" w:afterAutospacing="0" w:line="218" w:lineRule="auto"/>
              <w:ind w:left="165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3"/>
                <w:szCs w:val="23"/>
              </w:rPr>
              <w:t>未涉及规划使用功能调整，未涉及建筑主体承重结构变动，</w:t>
            </w:r>
          </w:p>
          <w:p>
            <w:pPr>
              <w:pStyle w:val="6"/>
              <w:widowControl/>
              <w:spacing w:before="6" w:beforeAutospacing="0" w:afterLines="0" w:afterAutospacing="0" w:line="204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3"/>
                <w:szCs w:val="23"/>
              </w:rPr>
              <w:t>未涉及消防设施变动，未涉及建筑外立面改动。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909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Lines="0" w:beforeAutospacing="0" w:afterLines="0" w:afterAutospacing="0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221" w:beforeAutospacing="0" w:afterLines="0" w:afterAutospacing="0" w:line="225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pacing w:val="5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2"/>
                <w:szCs w:val="22"/>
              </w:rPr>
              <w:t>不生产、储存、装卸易燃、易爆危险品；未设置化</w:t>
            </w:r>
          </w:p>
          <w:p>
            <w:pPr>
              <w:pStyle w:val="6"/>
              <w:widowControl/>
              <w:spacing w:before="2" w:beforeAutospacing="0" w:afterLines="0" w:afterAutospacing="0" w:line="218" w:lineRule="auto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4"/>
                <w:sz w:val="23"/>
                <w:szCs w:val="23"/>
              </w:rPr>
              <w:t>学或生物实验室。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01" w:beforeAutospacing="0" w:afterLines="0" w:afterAutospacing="0" w:line="225" w:lineRule="auto"/>
              <w:ind w:left="36"/>
              <w:jc w:val="both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2"/>
                <w:szCs w:val="22"/>
              </w:rPr>
              <w:t>非公共管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2"/>
                <w:szCs w:val="22"/>
              </w:rPr>
              <w:t>理与公共服务建筑(行政办公、文化设施、教育科研、体育设施、医疗卫生等);非居住建筑(含老旧小区改造工程);不生产、储存、装卸易燃、易爆危险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2"/>
                <w:szCs w:val="22"/>
              </w:rPr>
              <w:t>品；未设置化学或生物实验室。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1149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Lines="0" w:beforeAutospacing="0" w:afterLines="0" w:afterAutospacing="0" w:line="386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  <w:p>
            <w:pPr>
              <w:pStyle w:val="6"/>
              <w:widowControl/>
              <w:spacing w:before="75" w:beforeAutospacing="0" w:afterLines="0" w:afterAutospacing="0" w:line="218" w:lineRule="auto"/>
              <w:ind w:left="211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建设规模属性</w:t>
            </w: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55" w:beforeAutospacing="0" w:afterLines="0" w:afterAutospacing="0" w:line="235" w:lineRule="auto"/>
              <w:ind w:left="143" w:firstLine="9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2"/>
                <w:szCs w:val="22"/>
              </w:rPr>
              <w:t>总建筑面积不大于5000平米；其中劳动密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2"/>
                <w:szCs w:val="22"/>
              </w:rPr>
              <w:t>集型企业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2"/>
                <w:szCs w:val="22"/>
              </w:rPr>
              <w:t>的生产加工车间建筑面积不大于2500平方米；劳动密集型企业的员工集体宿舍建筑面积不大于1000平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1"/>
                <w:szCs w:val="21"/>
              </w:rPr>
              <w:t>方米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4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7"/>
                <w:sz w:val="21"/>
                <w:szCs w:val="21"/>
              </w:rPr>
              <w:t>。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231" w:lineRule="auto"/>
              <w:ind w:left="34"/>
              <w:jc w:val="both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总建筑面积不大于5000平米，其中舞厅、录像厅、放映厅、卡拉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8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OK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9"/>
                <w:sz w:val="22"/>
                <w:szCs w:val="22"/>
              </w:rPr>
              <w:t>厅、夜总会、游艺厅、桑拿浴室、网吧、酒吧，具有娱乐功能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2"/>
                <w:szCs w:val="22"/>
              </w:rPr>
              <w:t>的餐馆、茶馆、咖啡厅总建筑面积不大于500平方米；营业性室内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3"/>
                <w:sz w:val="22"/>
                <w:szCs w:val="22"/>
              </w:rPr>
              <w:t>健身、休闲场馆总建筑面积不大于2500平方米。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90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35" w:beforeAutospacing="0" w:afterLines="0" w:afterAutospacing="0" w:line="218" w:lineRule="auto"/>
              <w:ind w:left="211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建筑高度属性</w:t>
            </w: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135" w:beforeAutospacing="0" w:afterLines="0" w:afterAutospacing="0" w:line="218" w:lineRule="auto"/>
              <w:ind w:left="1542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  <w:t>建筑高度不大于24米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135" w:beforeAutospacing="0" w:afterLines="0" w:afterAutospacing="0" w:line="218" w:lineRule="auto"/>
              <w:ind w:left="2485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3"/>
                <w:szCs w:val="23"/>
              </w:rPr>
              <w:t>无建筑高度限制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79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36" w:beforeAutospacing="0" w:afterLines="0" w:afterAutospacing="0" w:line="218" w:lineRule="auto"/>
              <w:ind w:left="211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建筑跨度属性</w:t>
            </w: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135" w:beforeAutospacing="0" w:afterLines="0" w:afterAutospacing="0" w:line="218" w:lineRule="auto"/>
              <w:ind w:left="1022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"/>
                <w:sz w:val="23"/>
                <w:szCs w:val="23"/>
              </w:rPr>
              <w:t>钢结构工程单跨跨度不大于30米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136" w:beforeAutospacing="0" w:afterLines="0" w:afterAutospacing="0" w:line="218" w:lineRule="auto"/>
              <w:ind w:left="2495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2"/>
                <w:sz w:val="23"/>
                <w:szCs w:val="23"/>
              </w:rPr>
              <w:t>无建筑跨度限制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89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37" w:beforeAutospacing="0" w:afterLines="0" w:afterAutospacing="0" w:line="218" w:lineRule="auto"/>
              <w:ind w:left="211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消防审验属性</w:t>
            </w:r>
          </w:p>
        </w:tc>
        <w:tc>
          <w:tcPr>
            <w:tcW w:w="11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136" w:beforeAutospacing="0" w:afterLines="0" w:afterAutospacing="0" w:line="218" w:lineRule="auto"/>
              <w:ind w:left="4992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非特殊建设工程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479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38" w:beforeAutospacing="0" w:afterLines="0" w:afterAutospacing="0" w:line="218" w:lineRule="auto"/>
              <w:ind w:left="91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3"/>
                <w:szCs w:val="23"/>
              </w:rPr>
              <w:t>装配式建筑属性</w:t>
            </w:r>
          </w:p>
        </w:tc>
        <w:tc>
          <w:tcPr>
            <w:tcW w:w="11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138" w:beforeAutospacing="0" w:afterLines="0" w:afterAutospacing="0" w:line="218" w:lineRule="auto"/>
              <w:ind w:left="4762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  <w:t>非装配式混凝土建筑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529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158" w:beforeAutospacing="0" w:afterLines="0" w:afterAutospacing="0" w:line="218" w:lineRule="auto"/>
              <w:ind w:left="211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建造技术属性</w:t>
            </w: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226" w:lineRule="auto"/>
              <w:ind w:left="153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无深基坑、无地下室、幕墙总面积不大于300平米、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0"/>
                <w:sz w:val="22"/>
                <w:szCs w:val="2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2"/>
                <w:szCs w:val="22"/>
              </w:rPr>
              <w:t>无预应力工程、无大体积混凝土；未使用尚未制定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国标、行标、地标的新技术、新工艺、新材料和新设备 。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218" w:lineRule="auto"/>
              <w:ind w:left="36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未使用尚未制定国标、行标、地标的新技术、新工艺、新材料和新设备 。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280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40" w:beforeAutospacing="0" w:afterLines="0" w:afterAutospacing="0" w:line="192" w:lineRule="auto"/>
              <w:ind w:left="211"/>
              <w:jc w:val="both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建筑节能属性</w:t>
            </w:r>
          </w:p>
        </w:tc>
        <w:tc>
          <w:tcPr>
            <w:tcW w:w="51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192" w:lineRule="auto"/>
              <w:ind w:left="152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  <w:t>无建筑节能设计或建筑节能保温材料设计均为A级</w:t>
            </w:r>
          </w:p>
        </w:tc>
        <w:tc>
          <w:tcPr>
            <w:tcW w:w="64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184" w:lineRule="auto"/>
              <w:ind w:left="2285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8"/>
                <w:sz w:val="23"/>
                <w:szCs w:val="23"/>
              </w:rPr>
              <w:t>未涉及建筑节能改动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91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widowControl/>
              <w:spacing w:before="201" w:beforeAutospacing="0" w:afterLines="0" w:afterAutospacing="0" w:line="232" w:lineRule="auto"/>
              <w:ind w:right="39"/>
              <w:jc w:val="center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3"/>
                <w:szCs w:val="23"/>
                <w:lang w:eastAsia="zh-CN"/>
              </w:rPr>
              <w:t>关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4"/>
                <w:sz w:val="23"/>
                <w:szCs w:val="23"/>
              </w:rPr>
              <w:t>联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3"/>
                <w:sz w:val="23"/>
                <w:szCs w:val="23"/>
              </w:rPr>
              <w:t>风险</w:t>
            </w: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199" w:lineRule="auto"/>
              <w:ind w:left="210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投资主体属性</w:t>
            </w:r>
          </w:p>
        </w:tc>
        <w:tc>
          <w:tcPr>
            <w:tcW w:w="11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201" w:lineRule="auto"/>
              <w:ind w:left="1772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由社会投资或社会投资占主导的，未直接使用各级公共财政投资的工程建设项目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80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192" w:lineRule="auto"/>
              <w:ind w:left="210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sz w:val="23"/>
                <w:szCs w:val="23"/>
              </w:rPr>
              <w:t>标后监管属性</w:t>
            </w:r>
          </w:p>
        </w:tc>
        <w:tc>
          <w:tcPr>
            <w:tcW w:w="11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192" w:lineRule="auto"/>
              <w:ind w:left="4992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6"/>
                <w:sz w:val="23"/>
                <w:szCs w:val="23"/>
              </w:rPr>
              <w:t>非标后监管项目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389" w:hRule="atLeast"/>
        </w:trPr>
        <w:tc>
          <w:tcPr>
            <w:tcW w:w="593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1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199" w:lineRule="auto"/>
              <w:ind w:left="210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1"/>
                <w:sz w:val="23"/>
                <w:szCs w:val="23"/>
              </w:rPr>
              <w:t>企业信用属性</w:t>
            </w:r>
          </w:p>
        </w:tc>
        <w:tc>
          <w:tcPr>
            <w:tcW w:w="116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72" w:beforeAutospacing="0" w:afterLines="0" w:afterAutospacing="0" w:line="199" w:lineRule="auto"/>
              <w:ind w:left="1022"/>
              <w:jc w:val="center"/>
              <w:textAlignment w:val="baseline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企业在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滁州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市建筑市场信用评价系统中信用分高于90分以上的。</w:t>
            </w:r>
          </w:p>
        </w:tc>
      </w:tr>
      <w:tr>
        <w:tblPrEx>
          <w:tblCellMar>
            <w:top w:w="0" w:type="dxa"/>
            <w:left w:w="5" w:type="dxa"/>
            <w:bottom w:w="0" w:type="dxa"/>
            <w:right w:w="5" w:type="dxa"/>
          </w:tblCellMar>
        </w:tblPrEx>
        <w:trPr>
          <w:trHeight w:val="704" w:hRule="atLeast"/>
        </w:trPr>
        <w:tc>
          <w:tcPr>
            <w:tcW w:w="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Lines="0" w:beforeAutospacing="0" w:afterLines="0" w:afterAutospacing="0"/>
              <w:rPr>
                <w:rFonts w:hint="eastAsia" w:ascii="仿宋_GB2312" w:hAnsi="仿宋_GB2312" w:eastAsia="仿宋_GB2312" w:cs="仿宋_GB2312"/>
                <w:color w:val="auto"/>
                <w:sz w:val="21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290" w:beforeAutospacing="0" w:afterLines="0" w:afterAutospacing="0" w:line="220" w:lineRule="auto"/>
              <w:ind w:left="110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5"/>
                <w:sz w:val="23"/>
                <w:szCs w:val="23"/>
              </w:rPr>
              <w:t>备注</w:t>
            </w:r>
          </w:p>
        </w:tc>
        <w:tc>
          <w:tcPr>
            <w:tcW w:w="1344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6"/>
              <w:widowControl/>
              <w:spacing w:before="289" w:beforeAutospacing="0" w:afterLines="0" w:afterAutospacing="0" w:line="218" w:lineRule="auto"/>
              <w:ind w:left="21"/>
              <w:rPr>
                <w:rFonts w:hint="eastAsia" w:ascii="仿宋_GB2312" w:hAnsi="仿宋_GB2312" w:eastAsia="仿宋_GB2312" w:cs="仿宋_GB2312"/>
                <w:color w:val="auto"/>
                <w:sz w:val="23"/>
                <w:szCs w:val="23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必须符合A项或B项所列所有条件，质量属性风险等级确定为IV级。</w:t>
            </w:r>
          </w:p>
        </w:tc>
      </w:tr>
    </w:tbl>
    <w:p>
      <w:pPr>
        <w:pStyle w:val="6"/>
        <w:rPr>
          <w:rFonts w:hint="eastAsia" w:ascii="仿宋_GB2312" w:hAnsi="仿宋_GB2312" w:eastAsia="仿宋_GB2312" w:cs="仿宋_GB2312"/>
          <w:color w:val="auto"/>
          <w:sz w:val="21"/>
        </w:rPr>
        <w:sectPr>
          <w:footerReference r:id="rId3" w:type="default"/>
          <w:pgSz w:w="16838" w:h="11920"/>
          <w:pgMar w:top="1013" w:right="1108" w:bottom="400" w:left="1055" w:header="0" w:footer="0" w:gutter="0"/>
          <w:pgNumType w:fmt="numberInDash"/>
          <w:cols w:space="720" w:num="1"/>
          <w:formProt w:val="0"/>
          <w:docGrid w:linePitch="286" w:charSpace="43007"/>
        </w:sectPr>
      </w:pPr>
    </w:p>
    <w:p>
      <w:pPr>
        <w:pStyle w:val="6"/>
        <w:spacing w:line="160" w:lineRule="exact"/>
        <w:rPr>
          <w:color w:val="auto"/>
          <w:lang w:val="en-US" w:eastAsia="zh-CN"/>
        </w:rPr>
      </w:pPr>
      <w:bookmarkStart w:id="0" w:name="_GoBack"/>
      <w:bookmarkEnd w:id="0"/>
    </w:p>
    <w:sectPr>
      <w:footerReference r:id="rId4" w:type="default"/>
      <w:pgSz w:w="16838" w:h="11906" w:orient="landscape"/>
      <w:pgMar w:top="1800" w:right="1440" w:bottom="1800" w:left="1440" w:header="0" w:footer="992" w:gutter="0"/>
      <w:pgNumType w:fmt="numberInDash"/>
      <w:cols w:space="720" w:num="1"/>
      <w:formProt w:val="0"/>
      <w:docGrid w:type="lines" w:linePitch="312" w:charSpace="43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rFonts w:ascii="Arial" w:hAns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spacing w:line="12" w:lineRule="auto"/>
      <w:rPr>
        <w:rFonts w:ascii="Arial" w:hAnsi="Arial"/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autoHyphenation/>
  <w:displayHorizontalDrawingGridEvery w:val="1"/>
  <w:displayVerticalDrawingGridEvery w:val="1"/>
  <w:noPunctuationKerning w:val="1"/>
  <w:compat>
    <w:balanceSingleByteDoubleByteWidth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4NDhmNGM1YTIwZDI1ODdlYTdmYjM0ZTIxMmUzMjYifQ=="/>
  </w:docVars>
  <w:rsids>
    <w:rsidRoot w:val="00000000"/>
    <w:rsid w:val="00FC436E"/>
    <w:rsid w:val="01483505"/>
    <w:rsid w:val="055C3DBC"/>
    <w:rsid w:val="09D52226"/>
    <w:rsid w:val="0A164154"/>
    <w:rsid w:val="0C6F693B"/>
    <w:rsid w:val="0CB75678"/>
    <w:rsid w:val="0D3A51A7"/>
    <w:rsid w:val="0DAA291E"/>
    <w:rsid w:val="115E2610"/>
    <w:rsid w:val="13666CCF"/>
    <w:rsid w:val="15B015D5"/>
    <w:rsid w:val="16461830"/>
    <w:rsid w:val="17193833"/>
    <w:rsid w:val="19763791"/>
    <w:rsid w:val="1D7A24E1"/>
    <w:rsid w:val="1F145E5B"/>
    <w:rsid w:val="254E06EB"/>
    <w:rsid w:val="2695462F"/>
    <w:rsid w:val="2942459D"/>
    <w:rsid w:val="29BD5F8E"/>
    <w:rsid w:val="2C4167EB"/>
    <w:rsid w:val="2CBF475E"/>
    <w:rsid w:val="2D6742F7"/>
    <w:rsid w:val="2FD80E6E"/>
    <w:rsid w:val="30C4062C"/>
    <w:rsid w:val="30CB2E10"/>
    <w:rsid w:val="31574236"/>
    <w:rsid w:val="31D73328"/>
    <w:rsid w:val="334B4FFB"/>
    <w:rsid w:val="340053F5"/>
    <w:rsid w:val="352D62CE"/>
    <w:rsid w:val="355F46D1"/>
    <w:rsid w:val="3588593F"/>
    <w:rsid w:val="35C31F5D"/>
    <w:rsid w:val="36875285"/>
    <w:rsid w:val="36A62454"/>
    <w:rsid w:val="36D61B69"/>
    <w:rsid w:val="380303D3"/>
    <w:rsid w:val="3BE64A6D"/>
    <w:rsid w:val="3E0151A6"/>
    <w:rsid w:val="3EA34660"/>
    <w:rsid w:val="42B3131D"/>
    <w:rsid w:val="43FA1402"/>
    <w:rsid w:val="44D44927"/>
    <w:rsid w:val="45A27E9E"/>
    <w:rsid w:val="45C57CA5"/>
    <w:rsid w:val="46317690"/>
    <w:rsid w:val="470362D1"/>
    <w:rsid w:val="4B440E1C"/>
    <w:rsid w:val="500E1B8C"/>
    <w:rsid w:val="50804CA1"/>
    <w:rsid w:val="52B263B3"/>
    <w:rsid w:val="52F3669B"/>
    <w:rsid w:val="55BA2A94"/>
    <w:rsid w:val="58AD5660"/>
    <w:rsid w:val="5AFA3C1C"/>
    <w:rsid w:val="5B7E082A"/>
    <w:rsid w:val="5C6B316D"/>
    <w:rsid w:val="5DD76352"/>
    <w:rsid w:val="5EF85CA7"/>
    <w:rsid w:val="5F100C35"/>
    <w:rsid w:val="600F3F91"/>
    <w:rsid w:val="606744CB"/>
    <w:rsid w:val="63A578CC"/>
    <w:rsid w:val="63D970DD"/>
    <w:rsid w:val="65934706"/>
    <w:rsid w:val="6A8917B4"/>
    <w:rsid w:val="6D2B03FA"/>
    <w:rsid w:val="6D783D26"/>
    <w:rsid w:val="6D893061"/>
    <w:rsid w:val="70A408DB"/>
    <w:rsid w:val="7138344C"/>
    <w:rsid w:val="79560566"/>
    <w:rsid w:val="7E6F22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lang w:val="en-US" w:eastAsia="zh-CN" w:bidi="hi-IN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正文1"/>
    <w:semiHidden/>
    <w:qFormat/>
    <w:uiPriority w:val="0"/>
    <w:pPr>
      <w:widowControl/>
      <w:suppressAutoHyphens w:val="0"/>
      <w:kinsoku w:val="0"/>
      <w:bidi w:val="0"/>
      <w:snapToGrid w:val="0"/>
      <w:spacing w:beforeLines="0" w:beforeAutospacing="0" w:afterLines="0" w:afterAutospacing="0" w:line="240" w:lineRule="auto"/>
      <w:jc w:val="left"/>
      <w:textAlignment w:val="baseline"/>
    </w:pPr>
    <w:rPr>
      <w:rFonts w:ascii="Arial" w:hAnsi="Arial" w:eastAsia="Arial" w:cs="Arial"/>
      <w:color w:val="000000"/>
      <w:kern w:val="0"/>
      <w:sz w:val="21"/>
      <w:szCs w:val="21"/>
      <w:lang w:val="en-US" w:eastAsia="zh-CN" w:bidi="hi-IN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6792</Words>
  <Characters>6859</Characters>
  <Paragraphs>397</Paragraphs>
  <TotalTime>32</TotalTime>
  <ScaleCrop>false</ScaleCrop>
  <LinksUpToDate>false</LinksUpToDate>
  <CharactersWithSpaces>6902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2023-02-17T14:17:00Z</dcterms:created>
  <dc:creator>凯</dc:creator>
  <cp:lastModifiedBy>你若安好，便是晴天</cp:lastModifiedBy>
  <dcterms:modified xsi:type="dcterms:W3CDTF">2023-06-27T10:48:25Z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7E4BF3E85DF541EDB95CD8AD9DD997BC_13</vt:lpwstr>
  </property>
  <property fmtid="{D5CDD505-2E9C-101B-9397-08002B2CF9AE}" pid="3" name="KSOProductBuildVer">
    <vt:lpwstr>2052-11.1.0.14309</vt:lpwstr>
  </property>
</Properties>
</file>