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val="en-US" w:eastAsia="zh-CN"/>
        </w:rPr>
        <w:t>滁州</w:t>
      </w:r>
      <w:r>
        <w:rPr>
          <w:rFonts w:hint="eastAsia" w:ascii="方正小标宋简体" w:hAnsi="方正小标宋简体" w:eastAsia="方正小标宋简体" w:cs="方正小标宋简体"/>
          <w:sz w:val="44"/>
          <w:szCs w:val="44"/>
        </w:rPr>
        <w:t>市房屋建筑工程项目综合风险分级表</w:t>
      </w:r>
    </w:p>
    <w:bookmarkEnd w:id="0"/>
    <w:tbl>
      <w:tblPr>
        <w:tblStyle w:val="5"/>
        <w:tblpPr w:leftFromText="180" w:rightFromText="180" w:vertAnchor="page" w:horzAnchor="page" w:tblpX="1844" w:tblpY="242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1416"/>
        <w:gridCol w:w="1404"/>
        <w:gridCol w:w="900"/>
        <w:gridCol w:w="5628"/>
        <w:gridCol w:w="3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07"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sz w:val="21"/>
                <w:szCs w:val="21"/>
                <w:vertAlign w:val="baseline"/>
              </w:rPr>
            </w:pPr>
            <w:r>
              <w:rPr>
                <w:rFonts w:hint="eastAsia" w:ascii="黑体" w:hAnsi="黑体" w:eastAsia="黑体" w:cs="黑体"/>
                <w:sz w:val="21"/>
                <w:szCs w:val="21"/>
                <w:vertAlign w:val="baseline"/>
              </w:rPr>
              <w:t>风险级别</w:t>
            </w:r>
          </w:p>
        </w:tc>
        <w:tc>
          <w:tcPr>
            <w:tcW w:w="2820" w:type="dxa"/>
            <w:gridSpan w:val="2"/>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sz w:val="21"/>
                <w:szCs w:val="21"/>
                <w:vertAlign w:val="baseline"/>
              </w:rPr>
            </w:pPr>
            <w:r>
              <w:rPr>
                <w:rFonts w:hint="eastAsia" w:ascii="黑体" w:hAnsi="黑体" w:eastAsia="黑体" w:cs="黑体"/>
                <w:sz w:val="21"/>
                <w:szCs w:val="21"/>
                <w:vertAlign w:val="baseline"/>
              </w:rPr>
              <w:t>工程规模</w:t>
            </w:r>
          </w:p>
        </w:tc>
        <w:tc>
          <w:tcPr>
            <w:tcW w:w="900"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sz w:val="21"/>
                <w:szCs w:val="21"/>
                <w:vertAlign w:val="baseline"/>
              </w:rPr>
            </w:pPr>
            <w:r>
              <w:rPr>
                <w:rFonts w:hint="eastAsia" w:ascii="黑体" w:hAnsi="黑体" w:eastAsia="黑体" w:cs="黑体"/>
                <w:sz w:val="21"/>
                <w:szCs w:val="21"/>
                <w:vertAlign w:val="baseline"/>
              </w:rPr>
              <w:t>超危大数量</w:t>
            </w:r>
          </w:p>
        </w:tc>
        <w:tc>
          <w:tcPr>
            <w:tcW w:w="5628"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rPr>
              <w:t>规划用途及人员密集</w:t>
            </w:r>
            <w:r>
              <w:rPr>
                <w:rFonts w:hint="eastAsia" w:ascii="黑体" w:hAnsi="黑体" w:eastAsia="黑体" w:cs="黑体"/>
                <w:sz w:val="21"/>
                <w:szCs w:val="21"/>
                <w:vertAlign w:val="baseline"/>
                <w:lang w:val="en-US" w:eastAsia="zh-CN"/>
              </w:rPr>
              <w:t>情况</w:t>
            </w:r>
          </w:p>
        </w:tc>
        <w:tc>
          <w:tcPr>
            <w:tcW w:w="3817"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sz w:val="21"/>
                <w:szCs w:val="21"/>
                <w:vertAlign w:val="baseline"/>
              </w:rPr>
            </w:pPr>
            <w:r>
              <w:rPr>
                <w:rFonts w:hint="eastAsia" w:ascii="黑体" w:hAnsi="黑体" w:eastAsia="黑体" w:cs="黑体"/>
                <w:sz w:val="21"/>
                <w:szCs w:val="21"/>
                <w:vertAlign w:val="baseli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607" w:type="dxa"/>
            <w:vMerge w:val="continue"/>
          </w:tcPr>
          <w:p>
            <w:pPr>
              <w:rPr>
                <w:rFonts w:hint="eastAsia" w:ascii="黑体" w:hAnsi="黑体" w:eastAsia="黑体" w:cs="黑体"/>
                <w:vertAlign w:val="baseline"/>
              </w:rPr>
            </w:pPr>
          </w:p>
        </w:tc>
        <w:tc>
          <w:tcPr>
            <w:tcW w:w="141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建筑面积</w:t>
            </w:r>
          </w:p>
        </w:tc>
        <w:tc>
          <w:tcPr>
            <w:tcW w:w="140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sz w:val="21"/>
                <w:szCs w:val="21"/>
                <w:vertAlign w:val="baseline"/>
              </w:rPr>
            </w:pPr>
            <w:r>
              <w:rPr>
                <w:rFonts w:hint="eastAsia" w:ascii="黑体" w:hAnsi="黑体" w:eastAsia="黑体" w:cs="黑体"/>
                <w:sz w:val="21"/>
                <w:szCs w:val="21"/>
                <w:vertAlign w:val="baseline"/>
              </w:rPr>
              <w:t>建筑高度</w:t>
            </w:r>
          </w:p>
        </w:tc>
        <w:tc>
          <w:tcPr>
            <w:tcW w:w="900" w:type="dxa"/>
            <w:vMerge w:val="continue"/>
          </w:tcPr>
          <w:p>
            <w:pPr>
              <w:rPr>
                <w:rFonts w:hint="eastAsia" w:ascii="仿宋" w:hAnsi="仿宋" w:eastAsia="仿宋" w:cs="仿宋"/>
                <w:vertAlign w:val="baseline"/>
              </w:rPr>
            </w:pPr>
          </w:p>
        </w:tc>
        <w:tc>
          <w:tcPr>
            <w:tcW w:w="5628" w:type="dxa"/>
            <w:vMerge w:val="continue"/>
          </w:tcPr>
          <w:p>
            <w:pPr>
              <w:rPr>
                <w:rFonts w:hint="eastAsia" w:ascii="仿宋" w:hAnsi="仿宋" w:eastAsia="仿宋" w:cs="仿宋"/>
                <w:vertAlign w:val="baseline"/>
              </w:rPr>
            </w:pPr>
          </w:p>
        </w:tc>
        <w:tc>
          <w:tcPr>
            <w:tcW w:w="3817" w:type="dxa"/>
            <w:vMerge w:val="continue"/>
          </w:tcPr>
          <w:p>
            <w:pPr>
              <w:rPr>
                <w:rFonts w:hint="eastAsia" w:ascii="仿宋" w:hAnsi="仿宋" w:eastAsia="仿宋" w:cs="仿宋"/>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7" w:type="dxa"/>
            <w:vAlign w:val="center"/>
          </w:tcPr>
          <w:p>
            <w:pPr>
              <w:jc w:val="center"/>
              <w:rPr>
                <w:rFonts w:hint="eastAsia" w:ascii="黑体" w:hAnsi="黑体" w:eastAsia="黑体" w:cs="黑体"/>
                <w:sz w:val="21"/>
                <w:szCs w:val="21"/>
                <w:vertAlign w:val="baseline"/>
              </w:rPr>
            </w:pPr>
            <w:r>
              <w:rPr>
                <w:rFonts w:hint="eastAsia" w:ascii="黑体" w:hAnsi="黑体" w:eastAsia="黑体" w:cs="黑体"/>
                <w:sz w:val="21"/>
                <w:szCs w:val="21"/>
                <w:vertAlign w:val="baseline"/>
              </w:rPr>
              <w:t>低风险</w:t>
            </w:r>
          </w:p>
        </w:tc>
        <w:tc>
          <w:tcPr>
            <w:tcW w:w="141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rPr>
              <w:t>地上建筑面积不大于1万平米</w:t>
            </w:r>
            <w:r>
              <w:rPr>
                <w:rFonts w:hint="eastAsia" w:ascii="仿宋" w:hAnsi="仿宋" w:eastAsia="仿宋" w:cs="仿宋"/>
                <w:sz w:val="21"/>
                <w:szCs w:val="21"/>
                <w:vertAlign w:val="baseline"/>
                <w:lang w:val="en-US" w:eastAsia="zh-CN"/>
              </w:rPr>
              <w:t>且</w:t>
            </w:r>
            <w:r>
              <w:rPr>
                <w:rFonts w:hint="eastAsia" w:ascii="仿宋" w:hAnsi="仿宋" w:eastAsia="仿宋" w:cs="仿宋"/>
                <w:sz w:val="21"/>
                <w:szCs w:val="21"/>
                <w:vertAlign w:val="baseline"/>
              </w:rPr>
              <w:t>地下建筑面积不大于2000平米</w:t>
            </w:r>
          </w:p>
        </w:tc>
        <w:tc>
          <w:tcPr>
            <w:tcW w:w="140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rPr>
              <w:t>建筑高度不大于24 米且开挖深度不大于3米</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rPr>
              <w:t>0个</w:t>
            </w:r>
          </w:p>
        </w:tc>
        <w:tc>
          <w:tcPr>
            <w:tcW w:w="5628"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rPr>
              <w:t>属于下列情形之一的工程，按照本规定确定综合风险等级为低风险、一般风险的，综合风险等级提升一级，即:低风险升级为一般风险，一般风险升级为较大风险</w:t>
            </w:r>
            <w:r>
              <w:rPr>
                <w:rFonts w:hint="eastAsia" w:ascii="仿宋" w:hAnsi="仿宋" w:eastAsia="仿宋" w:cs="仿宋"/>
                <w:sz w:val="21"/>
                <w:szCs w:val="21"/>
                <w:vertAlign w:val="baseline"/>
                <w:lang w:eastAsia="zh-CN"/>
              </w:rPr>
              <w:t>；</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rPr>
              <w:t>(一)总建筑面积大于二万平方米的体育场馆、会堂，公共展览馆、博物馆的展示厅</w:t>
            </w:r>
            <w:r>
              <w:rPr>
                <w:rFonts w:hint="eastAsia" w:ascii="仿宋" w:hAnsi="仿宋" w:eastAsia="仿宋" w:cs="仿宋"/>
                <w:sz w:val="21"/>
                <w:szCs w:val="21"/>
                <w:vertAlign w:val="baseline"/>
                <w:lang w:eastAsia="zh-CN"/>
              </w:rPr>
              <w:t>；</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rPr>
              <w:t>(二)总建筑面积大于一万五千平方米的民用机场航站楼、客运车站候车室、客运码头候船厅</w:t>
            </w:r>
            <w:r>
              <w:rPr>
                <w:rFonts w:hint="eastAsia" w:ascii="仿宋" w:hAnsi="仿宋" w:eastAsia="仿宋" w:cs="仿宋"/>
                <w:sz w:val="21"/>
                <w:szCs w:val="21"/>
                <w:vertAlign w:val="baseline"/>
                <w:lang w:eastAsia="zh-CN"/>
              </w:rPr>
              <w:t>；</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rPr>
              <w:t>(三)总建筑面积大于一万平方米的宾馆、饭店、商场、市场:</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rPr>
              <w:t>(四)总建筑面积大于二千五百平方米的影剧院</w:t>
            </w:r>
            <w:r>
              <w:rPr>
                <w:rFonts w:hint="eastAsia" w:ascii="仿宋" w:hAnsi="仿宋" w:eastAsia="仿宋" w:cs="仿宋"/>
                <w:sz w:val="21"/>
                <w:szCs w:val="21"/>
                <w:vertAlign w:val="baseline"/>
                <w:lang w:eastAsia="zh-CN"/>
              </w:rPr>
              <w:t>，</w:t>
            </w:r>
            <w:r>
              <w:rPr>
                <w:rFonts w:hint="eastAsia" w:ascii="仿宋" w:hAnsi="仿宋" w:eastAsia="仿宋" w:cs="仿宋"/>
                <w:sz w:val="21"/>
                <w:szCs w:val="21"/>
                <w:vertAlign w:val="baseline"/>
              </w:rPr>
              <w:t>公共图书馆的阅览室，营业性室内健身、休闲场馆</w:t>
            </w:r>
            <w:r>
              <w:rPr>
                <w:rFonts w:hint="eastAsia" w:ascii="仿宋" w:hAnsi="仿宋" w:eastAsia="仿宋" w:cs="仿宋"/>
                <w:sz w:val="21"/>
                <w:szCs w:val="21"/>
                <w:vertAlign w:val="baseline"/>
                <w:lang w:eastAsia="zh-CN"/>
              </w:rPr>
              <w:t>，</w:t>
            </w:r>
            <w:r>
              <w:rPr>
                <w:rFonts w:hint="eastAsia" w:ascii="仿宋" w:hAnsi="仿宋" w:eastAsia="仿宋" w:cs="仿宋"/>
                <w:sz w:val="21"/>
                <w:szCs w:val="21"/>
                <w:vertAlign w:val="baseline"/>
              </w:rPr>
              <w:t>医院的门诊楼，大学的教学楼</w:t>
            </w:r>
            <w:r>
              <w:rPr>
                <w:rFonts w:hint="eastAsia" w:ascii="仿宋" w:hAnsi="仿宋" w:eastAsia="仿宋" w:cs="仿宋"/>
                <w:sz w:val="21"/>
                <w:szCs w:val="21"/>
                <w:vertAlign w:val="baseline"/>
                <w:lang w:eastAsia="zh-CN"/>
              </w:rPr>
              <w:t>、</w:t>
            </w:r>
            <w:r>
              <w:rPr>
                <w:rFonts w:hint="eastAsia" w:ascii="仿宋" w:hAnsi="仿宋" w:eastAsia="仿宋" w:cs="仿宋"/>
                <w:sz w:val="21"/>
                <w:szCs w:val="21"/>
                <w:vertAlign w:val="baseline"/>
              </w:rPr>
              <w:t>图书馆、食堂，劳动密集型企业的生产加工车间</w:t>
            </w:r>
            <w:r>
              <w:rPr>
                <w:rFonts w:hint="eastAsia" w:ascii="仿宋" w:hAnsi="仿宋" w:eastAsia="仿宋" w:cs="仿宋"/>
                <w:sz w:val="21"/>
                <w:szCs w:val="21"/>
                <w:vertAlign w:val="baseline"/>
                <w:lang w:eastAsia="zh-CN"/>
              </w:rPr>
              <w:t>，</w:t>
            </w:r>
            <w:r>
              <w:rPr>
                <w:rFonts w:hint="eastAsia" w:ascii="仿宋" w:hAnsi="仿宋" w:eastAsia="仿宋" w:cs="仿宋"/>
                <w:sz w:val="21"/>
                <w:szCs w:val="21"/>
                <w:vertAlign w:val="baseline"/>
              </w:rPr>
              <w:t>寺庙、教堂</w:t>
            </w:r>
            <w:r>
              <w:rPr>
                <w:rFonts w:hint="eastAsia" w:ascii="仿宋" w:hAnsi="仿宋" w:eastAsia="仿宋" w:cs="仿宋"/>
                <w:sz w:val="21"/>
                <w:szCs w:val="21"/>
                <w:vertAlign w:val="baseline"/>
                <w:lang w:eastAsia="zh-CN"/>
              </w:rPr>
              <w:t>；</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rPr>
              <w:t>(五)总建筑面积大于一千平方米的托儿所、幼儿园的儿童用房。儿童游乐厅等室内儿童活动场所，养老院、福利院</w:t>
            </w:r>
            <w:r>
              <w:rPr>
                <w:rFonts w:hint="eastAsia" w:ascii="仿宋" w:hAnsi="仿宋" w:eastAsia="仿宋" w:cs="仿宋"/>
                <w:sz w:val="21"/>
                <w:szCs w:val="21"/>
                <w:vertAlign w:val="baseline"/>
                <w:lang w:eastAsia="zh-CN"/>
              </w:rPr>
              <w:t>、</w:t>
            </w:r>
            <w:r>
              <w:rPr>
                <w:rFonts w:hint="eastAsia" w:ascii="仿宋" w:hAnsi="仿宋" w:eastAsia="仿宋" w:cs="仿宋"/>
                <w:sz w:val="21"/>
                <w:szCs w:val="21"/>
                <w:vertAlign w:val="baseline"/>
              </w:rPr>
              <w:t>医院、疗养院的病房楼，中小学校的数学楼</w:t>
            </w:r>
            <w:r>
              <w:rPr>
                <w:rFonts w:hint="eastAsia" w:ascii="仿宋" w:hAnsi="仿宋" w:eastAsia="仿宋" w:cs="仿宋"/>
                <w:sz w:val="21"/>
                <w:szCs w:val="21"/>
                <w:vertAlign w:val="baseline"/>
                <w:lang w:eastAsia="zh-CN"/>
              </w:rPr>
              <w:t>、</w:t>
            </w:r>
            <w:r>
              <w:rPr>
                <w:rFonts w:hint="eastAsia" w:ascii="仿宋" w:hAnsi="仿宋" w:eastAsia="仿宋" w:cs="仿宋"/>
                <w:sz w:val="21"/>
                <w:szCs w:val="21"/>
                <w:vertAlign w:val="baseline"/>
              </w:rPr>
              <w:t>图书馆、</w:t>
            </w:r>
            <w:r>
              <w:rPr>
                <w:rFonts w:hint="eastAsia" w:ascii="仿宋" w:hAnsi="仿宋" w:eastAsia="仿宋" w:cs="仿宋"/>
                <w:sz w:val="21"/>
                <w:szCs w:val="21"/>
                <w:vertAlign w:val="baseline"/>
                <w:lang w:val="en-US" w:eastAsia="zh-CN"/>
              </w:rPr>
              <w:t>食</w:t>
            </w:r>
            <w:r>
              <w:rPr>
                <w:rFonts w:hint="eastAsia" w:ascii="仿宋" w:hAnsi="仿宋" w:eastAsia="仿宋" w:cs="仿宋"/>
                <w:sz w:val="21"/>
                <w:szCs w:val="21"/>
                <w:vertAlign w:val="baseline"/>
              </w:rPr>
              <w:t>堂</w:t>
            </w:r>
            <w:r>
              <w:rPr>
                <w:rFonts w:hint="eastAsia" w:ascii="仿宋" w:hAnsi="仿宋" w:eastAsia="仿宋" w:cs="仿宋"/>
                <w:sz w:val="21"/>
                <w:szCs w:val="21"/>
                <w:vertAlign w:val="baseline"/>
                <w:lang w:eastAsia="zh-CN"/>
              </w:rPr>
              <w:t>，</w:t>
            </w:r>
            <w:r>
              <w:rPr>
                <w:rFonts w:hint="eastAsia" w:ascii="仿宋" w:hAnsi="仿宋" w:eastAsia="仿宋" w:cs="仿宋"/>
                <w:sz w:val="21"/>
                <w:szCs w:val="21"/>
                <w:vertAlign w:val="baseline"/>
              </w:rPr>
              <w:t>学校的集体宿舍</w:t>
            </w:r>
            <w:r>
              <w:rPr>
                <w:rFonts w:hint="eastAsia" w:ascii="仿宋" w:hAnsi="仿宋" w:eastAsia="仿宋" w:cs="仿宋"/>
                <w:sz w:val="21"/>
                <w:szCs w:val="21"/>
                <w:vertAlign w:val="baseline"/>
                <w:lang w:eastAsia="zh-CN"/>
              </w:rPr>
              <w:t>，</w:t>
            </w:r>
            <w:r>
              <w:rPr>
                <w:rFonts w:hint="eastAsia" w:ascii="仿宋" w:hAnsi="仿宋" w:eastAsia="仿宋" w:cs="仿宋"/>
                <w:sz w:val="21"/>
                <w:szCs w:val="21"/>
                <w:vertAlign w:val="baseline"/>
              </w:rPr>
              <w:t>劳动密集型企业的员工集体宿舍</w:t>
            </w:r>
            <w:r>
              <w:rPr>
                <w:rFonts w:hint="eastAsia" w:ascii="仿宋" w:hAnsi="仿宋" w:eastAsia="仿宋" w:cs="仿宋"/>
                <w:sz w:val="21"/>
                <w:szCs w:val="21"/>
                <w:vertAlign w:val="baseline"/>
                <w:lang w:eastAsia="zh-CN"/>
              </w:rPr>
              <w:t>；</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rPr>
              <w:t>(六)总建筑面积大于五百平方米的歌舞厅、录像厅、放映厅、卡拉OK厅、夜总会、游艺厅、桑拿浴室、网吧、酒吧，具有娱乐功能的餐馆、茶馆、咖啡厅</w:t>
            </w:r>
            <w:r>
              <w:rPr>
                <w:rFonts w:hint="eastAsia" w:ascii="仿宋" w:hAnsi="仿宋" w:eastAsia="仿宋" w:cs="仿宋"/>
                <w:sz w:val="21"/>
                <w:szCs w:val="21"/>
                <w:vertAlign w:val="baseline"/>
                <w:lang w:eastAsia="zh-CN"/>
              </w:rPr>
              <w:t>；</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rPr>
              <w:t>(七)生产、储存、装</w:t>
            </w:r>
            <w:r>
              <w:rPr>
                <w:rFonts w:hint="eastAsia" w:ascii="仿宋" w:hAnsi="仿宋" w:eastAsia="仿宋" w:cs="仿宋"/>
                <w:sz w:val="21"/>
                <w:szCs w:val="21"/>
                <w:vertAlign w:val="baseline"/>
                <w:lang w:val="en-US" w:eastAsia="zh-CN"/>
              </w:rPr>
              <w:t>卸</w:t>
            </w:r>
            <w:r>
              <w:rPr>
                <w:rFonts w:hint="eastAsia" w:ascii="仿宋" w:hAnsi="仿宋" w:eastAsia="仿宋" w:cs="仿宋"/>
                <w:sz w:val="21"/>
                <w:szCs w:val="21"/>
                <w:vertAlign w:val="baseline"/>
              </w:rPr>
              <w:t>易</w:t>
            </w:r>
            <w:r>
              <w:rPr>
                <w:rFonts w:hint="eastAsia" w:ascii="仿宋" w:hAnsi="仿宋" w:eastAsia="仿宋" w:cs="仿宋"/>
                <w:sz w:val="21"/>
                <w:szCs w:val="21"/>
                <w:vertAlign w:val="baseline"/>
                <w:lang w:val="en-US" w:eastAsia="zh-CN"/>
              </w:rPr>
              <w:t>燃</w:t>
            </w:r>
            <w:r>
              <w:rPr>
                <w:rFonts w:hint="eastAsia" w:ascii="仿宋" w:hAnsi="仿宋" w:eastAsia="仿宋" w:cs="仿宋"/>
                <w:sz w:val="21"/>
                <w:szCs w:val="21"/>
                <w:vertAlign w:val="baseline"/>
              </w:rPr>
              <w:t>易爆危</w:t>
            </w:r>
            <w:r>
              <w:rPr>
                <w:rFonts w:hint="eastAsia" w:ascii="仿宋" w:hAnsi="仿宋" w:eastAsia="仿宋" w:cs="仿宋"/>
                <w:sz w:val="21"/>
                <w:szCs w:val="21"/>
                <w:vertAlign w:val="baseline"/>
                <w:lang w:val="en-US" w:eastAsia="zh-CN"/>
              </w:rPr>
              <w:t>险</w:t>
            </w:r>
            <w:r>
              <w:rPr>
                <w:rFonts w:hint="eastAsia" w:ascii="仿宋" w:hAnsi="仿宋" w:eastAsia="仿宋" w:cs="仿宋"/>
                <w:sz w:val="21"/>
                <w:szCs w:val="21"/>
                <w:vertAlign w:val="baseline"/>
              </w:rPr>
              <w:t>物品的工厂，</w:t>
            </w:r>
            <w:r>
              <w:rPr>
                <w:rFonts w:hint="eastAsia" w:ascii="仿宋" w:hAnsi="仿宋" w:eastAsia="仿宋" w:cs="仿宋"/>
                <w:sz w:val="21"/>
                <w:szCs w:val="21"/>
                <w:vertAlign w:val="baseline"/>
                <w:lang w:val="en-US" w:eastAsia="zh-CN"/>
              </w:rPr>
              <w:t>仓</w:t>
            </w:r>
            <w:r>
              <w:rPr>
                <w:rFonts w:hint="eastAsia" w:ascii="仿宋" w:hAnsi="仿宋" w:eastAsia="仿宋" w:cs="仿宋"/>
                <w:sz w:val="21"/>
                <w:szCs w:val="21"/>
                <w:vertAlign w:val="baseline"/>
              </w:rPr>
              <w:t>库和专用车站、码头，易燃易爆气体和液体的充装站、供应站、调压站</w:t>
            </w:r>
            <w:r>
              <w:rPr>
                <w:rFonts w:hint="eastAsia" w:ascii="仿宋" w:hAnsi="仿宋" w:eastAsia="仿宋" w:cs="仿宋"/>
                <w:sz w:val="21"/>
                <w:szCs w:val="21"/>
                <w:vertAlign w:val="baseline"/>
                <w:lang w:eastAsia="zh-CN"/>
              </w:rPr>
              <w:t>；</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rPr>
              <w:t>(八)国家机关办公楼、电力调度楼、电信楼、邮政楼、防灾指挥调度楼、广播电视楼、档案楼</w:t>
            </w:r>
            <w:r>
              <w:rPr>
                <w:rFonts w:hint="eastAsia" w:ascii="仿宋" w:hAnsi="仿宋" w:eastAsia="仿宋" w:cs="仿宋"/>
                <w:sz w:val="21"/>
                <w:szCs w:val="21"/>
                <w:vertAlign w:val="baseline"/>
                <w:lang w:eastAsia="zh-CN"/>
              </w:rPr>
              <w:t>；</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rPr>
              <w:t>(九)设有上述第一项至第六项所列情形的建设工程</w:t>
            </w:r>
            <w:r>
              <w:rPr>
                <w:rFonts w:hint="eastAsia" w:ascii="仿宋" w:hAnsi="仿宋" w:eastAsia="仿宋" w:cs="仿宋"/>
                <w:sz w:val="21"/>
                <w:szCs w:val="21"/>
                <w:vertAlign w:val="baseline"/>
                <w:lang w:eastAsia="zh-CN"/>
              </w:rPr>
              <w:t>。</w:t>
            </w:r>
          </w:p>
        </w:tc>
        <w:tc>
          <w:tcPr>
            <w:tcW w:w="3817"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rPr>
              <w:t>1.风险定级总的原则是“就高不就低”。2.低风险工程须同时满足本行列表“</w:t>
            </w:r>
            <w:r>
              <w:rPr>
                <w:rFonts w:hint="eastAsia" w:ascii="仿宋" w:hAnsi="仿宋" w:eastAsia="仿宋" w:cs="仿宋"/>
                <w:sz w:val="21"/>
                <w:szCs w:val="21"/>
                <w:vertAlign w:val="baseline"/>
                <w:lang w:val="en-US" w:eastAsia="zh-CN"/>
              </w:rPr>
              <w:t>工</w:t>
            </w:r>
            <w:r>
              <w:rPr>
                <w:rFonts w:hint="eastAsia" w:ascii="仿宋" w:hAnsi="仿宋" w:eastAsia="仿宋" w:cs="仿宋"/>
                <w:sz w:val="21"/>
                <w:szCs w:val="21"/>
                <w:vertAlign w:val="baseline"/>
              </w:rPr>
              <w:t>程规模”“超</w:t>
            </w:r>
            <w:r>
              <w:rPr>
                <w:rFonts w:hint="eastAsia" w:ascii="仿宋" w:hAnsi="仿宋" w:eastAsia="仿宋" w:cs="仿宋"/>
                <w:sz w:val="21"/>
                <w:szCs w:val="21"/>
                <w:vertAlign w:val="baseline"/>
                <w:lang w:val="en-US" w:eastAsia="zh-CN"/>
              </w:rPr>
              <w:t>规模</w:t>
            </w:r>
            <w:r>
              <w:rPr>
                <w:rFonts w:hint="eastAsia" w:ascii="仿宋" w:hAnsi="仿宋" w:eastAsia="仿宋" w:cs="仿宋"/>
                <w:sz w:val="21"/>
                <w:szCs w:val="21"/>
                <w:vertAlign w:val="baseline"/>
              </w:rPr>
              <w:t>危大工程数量”所列的相关内容要求。</w:t>
            </w:r>
            <w:r>
              <w:rPr>
                <w:rFonts w:hint="eastAsia" w:ascii="仿宋" w:hAnsi="仿宋" w:eastAsia="仿宋" w:cs="仿宋"/>
                <w:sz w:val="21"/>
                <w:szCs w:val="21"/>
                <w:vertAlign w:val="baseline"/>
                <w:lang w:val="en-US" w:eastAsia="zh-CN"/>
              </w:rPr>
              <w:t>地</w:t>
            </w:r>
            <w:r>
              <w:rPr>
                <w:rFonts w:hint="eastAsia" w:ascii="仿宋" w:hAnsi="仿宋" w:eastAsia="仿宋" w:cs="仿宋"/>
                <w:sz w:val="21"/>
                <w:szCs w:val="21"/>
                <w:vertAlign w:val="baseline"/>
              </w:rPr>
              <w:t>上建筑面积不大于1万平米</w:t>
            </w:r>
            <w:r>
              <w:rPr>
                <w:rFonts w:hint="eastAsia" w:ascii="仿宋" w:hAnsi="仿宋" w:eastAsia="仿宋" w:cs="仿宋"/>
                <w:sz w:val="21"/>
                <w:szCs w:val="21"/>
                <w:vertAlign w:val="baseline"/>
                <w:lang w:val="en-US" w:eastAsia="zh-CN"/>
              </w:rPr>
              <w:t>且</w:t>
            </w:r>
            <w:r>
              <w:rPr>
                <w:rFonts w:hint="eastAsia" w:ascii="仿宋" w:hAnsi="仿宋" w:eastAsia="仿宋" w:cs="仿宋"/>
                <w:sz w:val="21"/>
                <w:szCs w:val="21"/>
                <w:vertAlign w:val="baseline"/>
              </w:rPr>
              <w:t>地下建筑面积不大干2000平米的工程，因周边环境</w:t>
            </w:r>
            <w:r>
              <w:rPr>
                <w:rFonts w:hint="eastAsia" w:ascii="仿宋" w:hAnsi="仿宋" w:eastAsia="仿宋" w:cs="仿宋"/>
                <w:sz w:val="21"/>
                <w:szCs w:val="21"/>
                <w:vertAlign w:val="baseline"/>
                <w:lang w:val="en-US" w:eastAsia="zh-CN"/>
              </w:rPr>
              <w:t>因素</w:t>
            </w:r>
            <w:r>
              <w:rPr>
                <w:rFonts w:hint="eastAsia" w:ascii="仿宋" w:hAnsi="仿宋" w:eastAsia="仿宋" w:cs="仿宋"/>
                <w:sz w:val="21"/>
                <w:szCs w:val="21"/>
                <w:vertAlign w:val="baseline"/>
              </w:rPr>
              <w:t>不能定为低风险的，应定为一般风险。</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rPr>
              <w:t>3.一般风险、较大风险、重大风险工程满足“建筑面积”“建筑高度”“超规模</w:t>
            </w:r>
            <w:r>
              <w:rPr>
                <w:rFonts w:hint="eastAsia" w:ascii="仿宋" w:hAnsi="仿宋" w:eastAsia="仿宋" w:cs="仿宋"/>
                <w:sz w:val="21"/>
                <w:szCs w:val="21"/>
                <w:vertAlign w:val="baseline"/>
                <w:lang w:val="en-US" w:eastAsia="zh-CN"/>
              </w:rPr>
              <w:t>危大工</w:t>
            </w:r>
            <w:r>
              <w:rPr>
                <w:rFonts w:hint="eastAsia" w:ascii="仿宋" w:hAnsi="仿宋" w:eastAsia="仿宋" w:cs="仿宋"/>
                <w:sz w:val="21"/>
                <w:szCs w:val="21"/>
                <w:vertAlign w:val="baseline"/>
              </w:rPr>
              <w:t>程数量”所列各件之一即可，其中建筑面积均指施工许可标明值。</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rPr>
              <w:t>4.大型发电、变配电工程，储能电站，老旧小区</w:t>
            </w:r>
            <w:r>
              <w:rPr>
                <w:rFonts w:hint="eastAsia" w:ascii="仿宋" w:hAnsi="仿宋" w:eastAsia="仿宋" w:cs="仿宋"/>
                <w:sz w:val="21"/>
                <w:szCs w:val="21"/>
                <w:vertAlign w:val="baseline"/>
                <w:lang w:val="en-US" w:eastAsia="zh-CN"/>
              </w:rPr>
              <w:t>改</w:t>
            </w:r>
            <w:r>
              <w:rPr>
                <w:rFonts w:hint="eastAsia" w:ascii="仿宋" w:hAnsi="仿宋" w:eastAsia="仿宋" w:cs="仿宋"/>
                <w:sz w:val="21"/>
                <w:szCs w:val="21"/>
                <w:vertAlign w:val="baseline"/>
              </w:rPr>
              <w:t>造工程综合风险等级应按照不低</w:t>
            </w:r>
            <w:r>
              <w:rPr>
                <w:rFonts w:hint="eastAsia" w:ascii="仿宋" w:hAnsi="仿宋" w:eastAsia="仿宋" w:cs="仿宋"/>
                <w:sz w:val="21"/>
                <w:szCs w:val="21"/>
                <w:vertAlign w:val="baseline"/>
                <w:lang w:val="en-US" w:eastAsia="zh-CN"/>
              </w:rPr>
              <w:t>于</w:t>
            </w:r>
            <w:r>
              <w:rPr>
                <w:rFonts w:hint="eastAsia" w:ascii="仿宋" w:hAnsi="仿宋" w:eastAsia="仿宋" w:cs="仿宋"/>
                <w:sz w:val="21"/>
                <w:szCs w:val="21"/>
                <w:vertAlign w:val="baseline"/>
              </w:rPr>
              <w:t>较大风险进行管控。</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rPr>
              <w:t>5、</w:t>
            </w:r>
            <w:r>
              <w:rPr>
                <w:rFonts w:hint="eastAsia" w:ascii="仿宋" w:hAnsi="仿宋" w:eastAsia="仿宋" w:cs="仿宋"/>
                <w:sz w:val="21"/>
                <w:szCs w:val="21"/>
                <w:vertAlign w:val="baseline"/>
                <w:lang w:val="en-US" w:eastAsia="zh-CN"/>
              </w:rPr>
              <w:t>土</w:t>
            </w:r>
            <w:r>
              <w:rPr>
                <w:rFonts w:hint="eastAsia" w:ascii="仿宋" w:hAnsi="仿宋" w:eastAsia="仿宋" w:cs="仿宋"/>
                <w:sz w:val="21"/>
                <w:szCs w:val="21"/>
                <w:vertAlign w:val="baseline"/>
              </w:rPr>
              <w:t>护降工程按下列情况确定风险等级和检查</w:t>
            </w:r>
            <w:r>
              <w:rPr>
                <w:rFonts w:hint="eastAsia" w:ascii="仿宋" w:hAnsi="仿宋" w:eastAsia="仿宋" w:cs="仿宋"/>
                <w:sz w:val="21"/>
                <w:szCs w:val="21"/>
                <w:vertAlign w:val="baseline"/>
                <w:lang w:val="en-US" w:eastAsia="zh-CN"/>
              </w:rPr>
              <w:t>频</w:t>
            </w:r>
            <w:r>
              <w:rPr>
                <w:rFonts w:hint="eastAsia" w:ascii="仿宋" w:hAnsi="仿宋" w:eastAsia="仿宋" w:cs="仿宋"/>
                <w:sz w:val="21"/>
                <w:szCs w:val="21"/>
                <w:vertAlign w:val="baseline"/>
              </w:rPr>
              <w:t>次(h为</w:t>
            </w:r>
            <w:r>
              <w:rPr>
                <w:rFonts w:hint="eastAsia" w:ascii="仿宋" w:hAnsi="仿宋" w:eastAsia="仿宋" w:cs="仿宋"/>
                <w:sz w:val="21"/>
                <w:szCs w:val="21"/>
                <w:vertAlign w:val="baseline"/>
                <w:lang w:val="en-US" w:eastAsia="zh-CN"/>
              </w:rPr>
              <w:t>土</w:t>
            </w:r>
            <w:r>
              <w:rPr>
                <w:rFonts w:hint="eastAsia" w:ascii="仿宋" w:hAnsi="仿宋" w:eastAsia="仿宋" w:cs="仿宋"/>
                <w:sz w:val="21"/>
                <w:szCs w:val="21"/>
                <w:vertAlign w:val="baseline"/>
              </w:rPr>
              <w:t>方开</w:t>
            </w:r>
            <w:r>
              <w:rPr>
                <w:rFonts w:hint="eastAsia" w:ascii="仿宋" w:hAnsi="仿宋" w:eastAsia="仿宋" w:cs="仿宋"/>
                <w:sz w:val="21"/>
                <w:szCs w:val="21"/>
                <w:vertAlign w:val="baseline"/>
                <w:lang w:val="en-US" w:eastAsia="zh-CN"/>
              </w:rPr>
              <w:t>挖</w:t>
            </w:r>
            <w:r>
              <w:rPr>
                <w:rFonts w:hint="eastAsia" w:ascii="仿宋" w:hAnsi="仿宋" w:eastAsia="仿宋" w:cs="仿宋"/>
                <w:sz w:val="21"/>
                <w:szCs w:val="21"/>
                <w:vertAlign w:val="baseline"/>
              </w:rPr>
              <w:t>深度)，h≤5米，低风险，检查1次，5米</w:t>
            </w:r>
            <w:r>
              <w:rPr>
                <w:rFonts w:hint="eastAsia" w:ascii="仿宋" w:hAnsi="仿宋" w:eastAsia="仿宋" w:cs="仿宋"/>
                <w:sz w:val="21"/>
                <w:szCs w:val="21"/>
                <w:vertAlign w:val="baseline"/>
                <w:lang w:val="en-US" w:eastAsia="zh-CN"/>
              </w:rPr>
              <w:t>＜</w:t>
            </w:r>
            <w:r>
              <w:rPr>
                <w:rFonts w:hint="eastAsia" w:ascii="仿宋" w:hAnsi="仿宋" w:eastAsia="仿宋" w:cs="仿宋"/>
                <w:sz w:val="21"/>
                <w:szCs w:val="21"/>
                <w:vertAlign w:val="baseline"/>
              </w:rPr>
              <w:t>h≤</w:t>
            </w:r>
            <w:r>
              <w:rPr>
                <w:rFonts w:hint="eastAsia" w:ascii="仿宋" w:hAnsi="仿宋" w:eastAsia="仿宋" w:cs="仿宋"/>
                <w:sz w:val="21"/>
                <w:szCs w:val="21"/>
                <w:vertAlign w:val="baseline"/>
                <w:lang w:val="en-US" w:eastAsia="zh-CN"/>
              </w:rPr>
              <w:t>10米，一般风险，3个月检查1次且</w:t>
            </w:r>
            <w:r>
              <w:rPr>
                <w:rFonts w:hint="eastAsia" w:ascii="仿宋" w:hAnsi="仿宋" w:eastAsia="仿宋" w:cs="仿宋"/>
                <w:sz w:val="21"/>
                <w:szCs w:val="21"/>
                <w:vertAlign w:val="baseline"/>
              </w:rPr>
              <w:t>不少于1 次:10米</w:t>
            </w:r>
            <w:r>
              <w:rPr>
                <w:rFonts w:hint="eastAsia" w:ascii="仿宋" w:hAnsi="仿宋" w:eastAsia="仿宋" w:cs="仿宋"/>
                <w:sz w:val="21"/>
                <w:szCs w:val="21"/>
                <w:vertAlign w:val="baseline"/>
                <w:lang w:val="en-US" w:eastAsia="zh-CN"/>
              </w:rPr>
              <w:t>＜</w:t>
            </w:r>
            <w:r>
              <w:rPr>
                <w:rFonts w:hint="eastAsia" w:ascii="仿宋" w:hAnsi="仿宋" w:eastAsia="仿宋" w:cs="仿宋"/>
                <w:sz w:val="21"/>
                <w:szCs w:val="21"/>
                <w:vertAlign w:val="baseline"/>
              </w:rPr>
              <w:t>h≤15米，</w:t>
            </w:r>
            <w:r>
              <w:rPr>
                <w:rFonts w:hint="eastAsia" w:ascii="仿宋" w:hAnsi="仿宋" w:eastAsia="仿宋" w:cs="仿宋"/>
                <w:sz w:val="21"/>
                <w:szCs w:val="21"/>
                <w:vertAlign w:val="baseline"/>
                <w:lang w:val="en-US" w:eastAsia="zh-CN"/>
              </w:rPr>
              <w:t>较大风险，3个月检查1次且不少于2次；</w:t>
            </w:r>
            <w:r>
              <w:rPr>
                <w:rFonts w:hint="eastAsia" w:ascii="仿宋" w:hAnsi="仿宋" w:eastAsia="仿宋" w:cs="仿宋"/>
                <w:sz w:val="21"/>
                <w:szCs w:val="21"/>
                <w:vertAlign w:val="baseline"/>
              </w:rPr>
              <w:t>h</w:t>
            </w:r>
            <w:r>
              <w:rPr>
                <w:rFonts w:hint="eastAsia" w:ascii="仿宋" w:hAnsi="仿宋" w:eastAsia="仿宋" w:cs="仿宋"/>
                <w:sz w:val="21"/>
                <w:szCs w:val="21"/>
                <w:vertAlign w:val="baseline"/>
                <w:lang w:val="en-US" w:eastAsia="zh-CN"/>
              </w:rPr>
              <w:t>＞15米，</w:t>
            </w:r>
            <w:r>
              <w:rPr>
                <w:rFonts w:hint="eastAsia" w:ascii="仿宋" w:hAnsi="仿宋" w:eastAsia="仿宋" w:cs="仿宋"/>
                <w:sz w:val="21"/>
                <w:szCs w:val="21"/>
                <w:vertAlign w:val="baseline"/>
              </w:rPr>
              <w:t>重大风险，检查每月不少于1次。</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rPr>
              <w:t>6.未纳入住建领域监管的专业工程可参考进行风险定级并由具有监管职责的机构进行管控。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7" w:type="dxa"/>
            <w:vAlign w:val="center"/>
          </w:tcPr>
          <w:p>
            <w:pPr>
              <w:jc w:val="center"/>
              <w:rPr>
                <w:rFonts w:hint="eastAsia" w:ascii="黑体" w:hAnsi="黑体" w:eastAsia="黑体" w:cs="黑体"/>
                <w:sz w:val="21"/>
                <w:szCs w:val="21"/>
                <w:vertAlign w:val="baseline"/>
              </w:rPr>
            </w:pPr>
            <w:r>
              <w:rPr>
                <w:rFonts w:hint="eastAsia" w:ascii="黑体" w:hAnsi="黑体" w:eastAsia="黑体" w:cs="黑体"/>
                <w:sz w:val="21"/>
                <w:szCs w:val="21"/>
                <w:vertAlign w:val="baseline"/>
              </w:rPr>
              <w:t>一般风险</w:t>
            </w:r>
          </w:p>
        </w:tc>
        <w:tc>
          <w:tcPr>
            <w:tcW w:w="141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rPr>
              <w:t>地上建筑面积大于1万平米且总建筑面积不大于10万平方米或地下建筑面积大于 2000 平米</w:t>
            </w:r>
          </w:p>
        </w:tc>
        <w:tc>
          <w:tcPr>
            <w:tcW w:w="140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rPr>
              <w:t>建筑高度大于24 米且不大于50米或者基坑开挖深度大于3米</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rPr>
              <w:t>1-2个</w:t>
            </w:r>
          </w:p>
        </w:tc>
        <w:tc>
          <w:tcPr>
            <w:tcW w:w="5628"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1"/>
                <w:szCs w:val="21"/>
                <w:vertAlign w:val="baseline"/>
              </w:rPr>
            </w:pPr>
          </w:p>
        </w:tc>
        <w:tc>
          <w:tcPr>
            <w:tcW w:w="3817"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trPr>
        <w:tc>
          <w:tcPr>
            <w:tcW w:w="607" w:type="dxa"/>
            <w:vAlign w:val="center"/>
          </w:tcPr>
          <w:p>
            <w:pPr>
              <w:jc w:val="center"/>
              <w:rPr>
                <w:rFonts w:hint="eastAsia" w:ascii="黑体" w:hAnsi="黑体" w:eastAsia="黑体" w:cs="黑体"/>
                <w:sz w:val="21"/>
                <w:szCs w:val="21"/>
                <w:vertAlign w:val="baseline"/>
              </w:rPr>
            </w:pPr>
            <w:r>
              <w:rPr>
                <w:rFonts w:hint="eastAsia" w:ascii="黑体" w:hAnsi="黑体" w:eastAsia="黑体" w:cs="黑体"/>
                <w:sz w:val="21"/>
                <w:szCs w:val="21"/>
                <w:vertAlign w:val="baseline"/>
              </w:rPr>
              <w:t>较大风险</w:t>
            </w:r>
          </w:p>
        </w:tc>
        <w:tc>
          <w:tcPr>
            <w:tcW w:w="141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rPr>
              <w:t>总建筑面积大于10万平米且不大于30万平方米</w:t>
            </w:r>
          </w:p>
        </w:tc>
        <w:tc>
          <w:tcPr>
            <w:tcW w:w="140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rPr>
              <w:t>建筑高度大于50米且不大于100米</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rPr>
              <w:t>3个</w:t>
            </w:r>
          </w:p>
        </w:tc>
        <w:tc>
          <w:tcPr>
            <w:tcW w:w="5628"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1"/>
                <w:szCs w:val="21"/>
                <w:vertAlign w:val="baseline"/>
              </w:rPr>
            </w:pPr>
          </w:p>
        </w:tc>
        <w:tc>
          <w:tcPr>
            <w:tcW w:w="3817"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trPr>
        <w:tc>
          <w:tcPr>
            <w:tcW w:w="607" w:type="dxa"/>
            <w:vAlign w:val="center"/>
          </w:tcPr>
          <w:p>
            <w:pPr>
              <w:jc w:val="center"/>
              <w:rPr>
                <w:rFonts w:hint="eastAsia" w:ascii="黑体" w:hAnsi="黑体" w:eastAsia="黑体" w:cs="黑体"/>
                <w:sz w:val="21"/>
                <w:szCs w:val="21"/>
                <w:vertAlign w:val="baseline"/>
              </w:rPr>
            </w:pPr>
            <w:r>
              <w:rPr>
                <w:rFonts w:hint="eastAsia" w:ascii="黑体" w:hAnsi="黑体" w:eastAsia="黑体" w:cs="黑体"/>
                <w:sz w:val="21"/>
                <w:szCs w:val="21"/>
                <w:vertAlign w:val="baseline"/>
                <w:lang w:val="en-US" w:eastAsia="zh-CN"/>
              </w:rPr>
              <w:t>重大</w:t>
            </w:r>
            <w:r>
              <w:rPr>
                <w:rFonts w:hint="eastAsia" w:ascii="黑体" w:hAnsi="黑体" w:eastAsia="黑体" w:cs="黑体"/>
                <w:sz w:val="21"/>
                <w:szCs w:val="21"/>
                <w:vertAlign w:val="baseline"/>
              </w:rPr>
              <w:t>风险</w:t>
            </w:r>
          </w:p>
        </w:tc>
        <w:tc>
          <w:tcPr>
            <w:tcW w:w="141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rPr>
              <w:t>总建筑面积大于30万平方米</w:t>
            </w:r>
          </w:p>
        </w:tc>
        <w:tc>
          <w:tcPr>
            <w:tcW w:w="140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rPr>
              <w:t>建筑高度大于100米</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 w:hAnsi="仿宋" w:eastAsia="仿宋" w:cs="仿宋"/>
                <w:sz w:val="21"/>
                <w:szCs w:val="21"/>
                <w:vertAlign w:val="baseline"/>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rPr>
              <w:t>超过 3 个</w:t>
            </w:r>
          </w:p>
        </w:tc>
        <w:tc>
          <w:tcPr>
            <w:tcW w:w="5628"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1"/>
                <w:szCs w:val="21"/>
                <w:vertAlign w:val="baseline"/>
              </w:rPr>
            </w:pPr>
          </w:p>
        </w:tc>
        <w:tc>
          <w:tcPr>
            <w:tcW w:w="3817"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1"/>
                <w:szCs w:val="21"/>
                <w:vertAlign w:val="baseline"/>
              </w:rPr>
            </w:pPr>
          </w:p>
        </w:tc>
      </w:tr>
    </w:tbl>
    <w:p>
      <w:pPr>
        <w:rPr>
          <w:rFonts w:hint="eastAsia" w:ascii="仿宋" w:hAnsi="仿宋" w:eastAsia="仿宋" w:cs="仿宋"/>
          <w:sz w:val="24"/>
          <w:szCs w:val="24"/>
        </w:rPr>
      </w:pPr>
    </w:p>
    <w:sectPr>
      <w:headerReference r:id="rId3" w:type="default"/>
      <w:footerReference r:id="rId4" w:type="default"/>
      <w:pgSz w:w="16838" w:h="11906" w:orient="landscape"/>
      <w:pgMar w:top="669" w:right="1383" w:bottom="499" w:left="13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jZmEzNzYxNTI4YmVlYzllMzAyZWEyYjkyYmNiODkifQ=="/>
  </w:docVars>
  <w:rsids>
    <w:rsidRoot w:val="00F1757C"/>
    <w:rsid w:val="00C06EB1"/>
    <w:rsid w:val="00F1757C"/>
    <w:rsid w:val="03EF3AEA"/>
    <w:rsid w:val="0F4E2629"/>
    <w:rsid w:val="16B254E2"/>
    <w:rsid w:val="234E760A"/>
    <w:rsid w:val="4916331C"/>
    <w:rsid w:val="4EE50A06"/>
    <w:rsid w:val="5A016E55"/>
    <w:rsid w:val="70E21A51"/>
    <w:rsid w:val="7CA5799C"/>
    <w:rsid w:val="7CC24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1188</Words>
  <Characters>1223</Characters>
  <Lines>0</Lines>
  <Paragraphs>0</Paragraphs>
  <TotalTime>14</TotalTime>
  <ScaleCrop>false</ScaleCrop>
  <LinksUpToDate>false</LinksUpToDate>
  <CharactersWithSpaces>1230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2023-06-01T04:36:00Z</dcterms:created>
  <dc:creator>陌途忘川</dc:creator>
  <cp:lastModifiedBy>你若安好，便是晴天</cp:lastModifiedBy>
  <dcterms:modified xsi:type="dcterms:W3CDTF">2023-06-27T10:44:03Z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CF78EA1E76364C169ECDC72774532B70_13</vt:lpwstr>
  </property>
</Properties>
</file>