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  <w:bookmarkStart w:id="0" w:name="_GoBack"/>
      <w:bookmarkEnd w:id="0"/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1028" type="#_x0000_t136" style="position:absolute;left:0;text-align:left;margin-left:143.2pt;margin-top:221.35pt;width:150.75pt;height:47.25pt;z-index:251656704;mso-wrap-style:square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1" w:name="编号"/>
      <w:r>
        <w:rPr>
          <w:rFonts w:ascii="仿宋" w:eastAsia="仿宋" w:hAnsi="仿宋" w:hint="eastAsia"/>
          <w:sz w:val="32"/>
          <w:szCs w:val="32"/>
        </w:rPr>
        <w:t>16</w:t>
      </w:r>
      <w:bookmarkEnd w:id="1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宋体" w:cs="宋体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3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" strokecolor="red" strokeweight="2.25pt"/>
            </w:pict>
          </mc:Fallback>
        </mc:AlternateContent>
      </w:r>
    </w:p>
    <w:p>
      <w:pPr>
        <w:spacing w:line="640" w:lineRule="exact"/>
        <w:jc w:val="center"/>
        <w:rPr>
          <w:rFonts w:ascii="方正小标宋简体" w:eastAsia="方正小标宋简体" w:hAnsi="华文中宋" w:cs="黑体"/>
          <w:color w:val="000000"/>
          <w:sz w:val="44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2" w:name="Content"/>
      <w:r>
        <w:rPr>
          <w:rFonts w:ascii="方正小标宋简体" w:eastAsia="方正小标宋简体" w:hAnsi="华文中宋" w:cs="黑体" w:hint="eastAsia"/>
          <w:color w:val="000000"/>
          <w:sz w:val="44"/>
        </w:rPr>
        <w:t>2022年第3批建筑企业资质重新核定公告</w:t>
      </w:r>
    </w:p>
    <w:p>
      <w:pPr>
        <w:rPr>
          <w:rFonts w:ascii="仿宋_GB2312" w:eastAsia="仿宋_GB2312" w:hAnsi="宋体" w:cs="宋体"/>
          <w:sz w:val="32"/>
        </w:rPr>
      </w:pPr>
    </w:p>
    <w:p>
      <w:pPr>
        <w:spacing w:line="560" w:lineRule="exact"/>
        <w:ind w:firstLine="641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住建部《建筑业企业资质管理规定和资质标准实施意见》（建市〔2015〕20号）、《关于建设工程企业发生重组、合并、分立等情况资质核定有关问题的通知》（建市〔2014〕79号），我局对近期申请建筑业企业资质重新核定的申报材料进行了审查,经审核，同意下列企业的资质重新核定（变更前的企业资质同时注销），现将</w:t>
      </w:r>
      <w:r>
        <w:rPr>
          <w:rFonts w:ascii="仿宋_GB2312" w:eastAsia="仿宋_GB2312" w:hAnsi="仿宋_GB2312" w:cs="仿宋_GB2312" w:hint="eastAsia"/>
          <w:sz w:val="32"/>
        </w:rPr>
        <w:t>重新核定结果予以公布。特此公告。</w:t>
      </w:r>
    </w:p>
    <w:p>
      <w:pPr>
        <w:spacing w:line="560" w:lineRule="exact"/>
        <w:ind w:firstLine="160"/>
        <w:rPr>
          <w:rFonts w:ascii="仿宋_GB2312" w:eastAsia="仿宋_GB2312" w:hAnsi="仿宋_GB2312" w:cs="仿宋_GB2312" w:hint="eastAsia"/>
          <w:sz w:val="32"/>
        </w:rPr>
      </w:pPr>
    </w:p>
    <w:p>
      <w:pPr>
        <w:spacing w:line="560" w:lineRule="exact"/>
        <w:ind w:firstLine="160"/>
        <w:rPr>
          <w:rFonts w:ascii="仿宋_GB2312" w:eastAsia="仿宋_GB2312" w:hAnsi="仿宋_GB2312" w:cs="仿宋_GB2312" w:hint="eastAsia"/>
          <w:spacing w:val="-10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10"/>
          <w:sz w:val="32"/>
        </w:rPr>
        <w:t>附件：2022年第3批建筑企业资质重新核定结果统计表</w:t>
      </w:r>
    </w:p>
    <w:p>
      <w:pPr>
        <w:spacing w:line="560" w:lineRule="exact"/>
        <w:ind w:firstLine="160"/>
        <w:rPr>
          <w:rFonts w:ascii="仿宋_GB2312" w:eastAsia="仿宋_GB2312" w:hAnsi="仿宋_GB2312" w:cs="仿宋_GB2312" w:hint="eastAsia"/>
          <w:spacing w:val="-10"/>
          <w:sz w:val="32"/>
        </w:rPr>
      </w:pPr>
    </w:p>
    <w:p>
      <w:pPr>
        <w:spacing w:line="560" w:lineRule="exact"/>
        <w:rPr>
          <w:rFonts w:ascii="仿宋_GB2312" w:eastAsia="仿宋_GB2312" w:hAnsi="仿宋_GB2312" w:cs="仿宋_GB2312" w:hint="eastAsia"/>
          <w:sz w:val="32"/>
        </w:rPr>
      </w:pPr>
    </w:p>
    <w:p>
      <w:pPr>
        <w:spacing w:line="560" w:lineRule="exact"/>
        <w:ind w:firstLineChars="1400" w:firstLine="4480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2022年4月19日</w:t>
      </w:r>
    </w:p>
    <w:p>
      <w:pPr>
        <w:rPr>
          <w:rFonts w:ascii="仿宋_GB2312" w:eastAsia="仿宋_GB2312"/>
          <w:szCs w:val="21"/>
        </w:rPr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left:0;text-align:left;margin-left:294.35pt;margin-top:650.9pt;width:120pt;height:122.25pt;z-index:251659776;mso-position-horizontal-relative:page;mso-position-vertical-relative:page" o:preferrelative="t" filled="f" stroked="f">
            <v:fill o:detectmouseclick="t"/>
            <v:imagedata r:id="rId7" o:title=""/>
            <v:path shadowok="t" strokeok="t"/>
            <w10:wrap anchorx="page" anchory="page"/>
            <w10:anchorlock/>
          </v:shape>
          <w:control r:id="rId8" w:name="Control 10" w:shapeid="_x0000_s1034"/>
        </w:pict>
      </w:r>
    </w:p>
    <w:p>
      <w:pPr>
        <w:rPr>
          <w:rFonts w:ascii="仿宋_GB2312" w:eastAsia="仿宋_GB2312"/>
          <w:szCs w:val="21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2551"/>
        <w:gridCol w:w="2552"/>
      </w:tblGrid>
      <w:tr>
        <w:trPr>
          <w:trHeight w:hRule="exact" w:val="1276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附件：2022年第3批建筑企业资质重新核定结果统计表</w:t>
            </w:r>
          </w:p>
        </w:tc>
      </w:tr>
      <w:tr>
        <w:trPr>
          <w:trHeight w:hRule="exact" w:val="114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变更内容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变更前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变更后</w:t>
            </w:r>
          </w:p>
        </w:tc>
      </w:tr>
      <w:tr>
        <w:trPr>
          <w:trHeight w:hRule="exact" w:val="1412"/>
        </w:trPr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i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建筑幕墙工程专业承包贰级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安徽凯迪建业有限公司</w:t>
            </w:r>
          </w:p>
        </w:tc>
        <w:tc>
          <w:tcPr>
            <w:tcW w:w="2552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安徽滁建建设有限公司</w:t>
            </w:r>
          </w:p>
        </w:tc>
      </w:tr>
    </w:tbl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</w:p>
    <w:p>
      <w:pPr>
        <w:ind w:right="640"/>
        <w:rPr>
          <w:rFonts w:ascii="仿宋_GB2312" w:eastAsia="仿宋_GB2312" w:hAnsi="仿宋_GB2312" w:cs="仿宋_GB2312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370204</wp:posOffset>
                </wp:positionV>
                <wp:extent cx="58388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3.75pt;margin-top:29.15pt;width:4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" strokeweight="1pt"/>
            </w:pict>
          </mc:Fallback>
        </mc:AlternateContent>
      </w:r>
    </w:p>
    <w:p>
      <w:pPr>
        <w:tabs>
          <w:tab w:val="left" w:pos="8789"/>
        </w:tabs>
        <w:ind w:right="141"/>
        <w:rPr>
          <w:rFonts w:ascii="仿宋_GB2312" w:eastAsia="仿宋_GB2312" w:hAnsi="仿宋_GB2312" w:cs="仿宋_GB2312" w:hint="eastAsia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413384</wp:posOffset>
                </wp:positionV>
                <wp:extent cx="583882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-3.75pt;margin-top:32.55pt;width:459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" strokeweight="1pt"/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</w:rPr>
        <w:t xml:space="preserve">滁州市住房和城乡建设局办公室      </w:t>
      </w:r>
      <w:r>
        <w:rPr>
          <w:rFonts w:ascii="仿宋_GB2312" w:eastAsia="仿宋_GB2312" w:hAnsi="仿宋_GB2312" w:cs="仿宋_GB2312"/>
          <w:sz w:val="32"/>
        </w:rPr>
        <w:t>20</w:t>
      </w:r>
      <w:r>
        <w:rPr>
          <w:rFonts w:ascii="仿宋_GB2312" w:eastAsia="仿宋_GB2312" w:hAnsi="仿宋_GB2312" w:cs="仿宋_GB2312" w:hint="eastAsia"/>
          <w:sz w:val="32"/>
        </w:rPr>
        <w:t>22</w:t>
      </w:r>
      <w:r>
        <w:rPr>
          <w:rFonts w:ascii="仿宋_GB2312" w:eastAsia="仿宋_GB2312" w:hAnsi="仿宋_GB2312" w:cs="仿宋_GB2312"/>
          <w:sz w:val="32"/>
        </w:rPr>
        <w:t>年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/>
          <w:sz w:val="32"/>
        </w:rPr>
        <w:t>月</w:t>
      </w:r>
      <w:r>
        <w:rPr>
          <w:rFonts w:ascii="仿宋_GB2312" w:eastAsia="仿宋_GB2312" w:hAnsi="仿宋_GB2312" w:cs="仿宋_GB2312" w:hint="eastAsia"/>
          <w:sz w:val="32"/>
        </w:rPr>
        <w:t>19</w:t>
      </w:r>
      <w:r>
        <w:rPr>
          <w:rFonts w:ascii="仿宋_GB2312" w:eastAsia="仿宋_GB2312" w:hAnsi="仿宋_GB2312" w:cs="仿宋_GB2312"/>
          <w:sz w:val="32"/>
        </w:rPr>
        <w:t>日印发</w:t>
      </w:r>
      <w:bookmarkEnd w:id="2"/>
    </w:p>
    <w:sectPr>
      <w:footerReference w:type="default" r:id="rId9"/>
      <w:pgSz w:w="11906" w:h="16838"/>
      <w:pgMar w:top="1587" w:right="1417" w:bottom="1417" w:left="141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  <w:lang w:val="zh-CN" w:eastAsia="zh-CN"/>
      </w:rPr>
      <w:t>2</w:t>
    </w:r>
    <w:r>
      <w:rPr>
        <w:sz w:val="24"/>
        <w:szCs w:val="24"/>
      </w:rPr>
      <w:fldChar w:fldCharType="end"/>
    </w:r>
  </w:p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CIDqtL/e0zgLSsNvZtetXsewZdk=" w:salt="ga4RkAC+5QvJXZGxg4cHG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hnN+lE9Db64j4VDCLeptZJg2bv4XdrgW64R+sAC8tbL/Mv5Yp0Yizw8PKtqdhXAFcvCwrzkbHiJXAA=="/>
    <w:docVar w:name="DocEmbSo7B6CB0CD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0" type="connector" idref="#直接箭头连接符 2"/>
        <o:r id="V:Rule1" type="connector" idref="#AutoShape 3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2022-04-19T07:39:00Z</dcterms:created>
  <dcterms:modified xsi:type="dcterms:W3CDTF">2022-04-19T07:39:00Z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